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A9" w:rsidRPr="00C201C0" w:rsidRDefault="008773A9">
      <w:pPr>
        <w:snapToGrid w:val="0"/>
        <w:spacing w:line="360" w:lineRule="auto"/>
        <w:jc w:val="center"/>
        <w:rPr>
          <w:rFonts w:ascii="方正小标宋_GBK" w:eastAsia="方正小标宋_GBK" w:hAnsi="方正公文小标宋" w:cs="方正公文小标宋"/>
          <w:color w:val="000000"/>
          <w:kern w:val="0"/>
          <w:sz w:val="36"/>
          <w:szCs w:val="36"/>
        </w:rPr>
      </w:pPr>
      <w:r w:rsidRPr="00C201C0">
        <w:rPr>
          <w:rFonts w:ascii="方正小标宋_GBK" w:eastAsia="方正小标宋_GBK" w:hAnsi="方正公文小标宋" w:cs="方正公文小标宋" w:hint="eastAsia"/>
          <w:color w:val="000000"/>
          <w:kern w:val="0"/>
          <w:sz w:val="36"/>
          <w:szCs w:val="36"/>
        </w:rPr>
        <w:t>附件一：河南省建设工程造价咨询行业服务收费市场参考价格</w:t>
      </w:r>
    </w:p>
    <w:p w:rsidR="008773A9" w:rsidRDefault="008773A9">
      <w:pPr>
        <w:snapToGrid w:val="0"/>
        <w:spacing w:line="360" w:lineRule="auto"/>
        <w:jc w:val="center"/>
        <w:rPr>
          <w:rFonts w:ascii="方正公文小标宋" w:eastAsia="方正公文小标宋" w:hAnsi="方正公文小标宋" w:cs="方正公文小标宋"/>
          <w:color w:val="000000"/>
          <w:kern w:val="0"/>
          <w:sz w:val="36"/>
          <w:szCs w:val="36"/>
        </w:rPr>
      </w:pPr>
    </w:p>
    <w:tbl>
      <w:tblPr>
        <w:tblW w:w="14057" w:type="dxa"/>
        <w:jc w:val="center"/>
        <w:tblLayout w:type="fixed"/>
        <w:tblLook w:val="00A0"/>
      </w:tblPr>
      <w:tblGrid>
        <w:gridCol w:w="613"/>
        <w:gridCol w:w="2262"/>
        <w:gridCol w:w="2812"/>
        <w:gridCol w:w="945"/>
        <w:gridCol w:w="1168"/>
        <w:gridCol w:w="736"/>
        <w:gridCol w:w="800"/>
        <w:gridCol w:w="778"/>
        <w:gridCol w:w="811"/>
        <w:gridCol w:w="856"/>
        <w:gridCol w:w="811"/>
        <w:gridCol w:w="1465"/>
      </w:tblGrid>
      <w:tr w:rsidR="008773A9" w:rsidRPr="00673CCA" w:rsidTr="00263CEC">
        <w:trPr>
          <w:trHeight w:val="300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color w:val="000000"/>
                <w:szCs w:val="21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color w:val="000000"/>
                <w:szCs w:val="21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Cs w:val="21"/>
              </w:rPr>
              <w:t>咨询项目名称</w:t>
            </w:r>
          </w:p>
        </w:tc>
        <w:tc>
          <w:tcPr>
            <w:tcW w:w="2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color w:val="000000"/>
                <w:szCs w:val="21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Cs w:val="21"/>
              </w:rPr>
              <w:t>服务内容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color w:val="000000"/>
                <w:szCs w:val="21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Cs w:val="21"/>
              </w:rPr>
              <w:t>计费基数</w:t>
            </w:r>
          </w:p>
        </w:tc>
        <w:tc>
          <w:tcPr>
            <w:tcW w:w="47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方正公文小标宋" w:eastAsia="方正公文小标宋" w:hAnsi="方正公文小标宋" w:cs="方正公文小标宋"/>
                <w:color w:val="000000"/>
                <w:szCs w:val="21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Cs w:val="21"/>
              </w:rPr>
              <w:t>划分标准（万元）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color w:val="000000"/>
                <w:szCs w:val="21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8773A9" w:rsidRPr="00673CCA">
        <w:trPr>
          <w:trHeight w:val="766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cs="Calibri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cs="Calibri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＞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8773A9" w:rsidRPr="00673CCA">
        <w:trPr>
          <w:trHeight w:val="855"/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投资估算编制或审核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编制或审核项目投资估算，出具投资估算报告或审核报告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总投资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8773A9" w:rsidRPr="00673CCA">
        <w:trPr>
          <w:trHeight w:val="694"/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设计概算编制或审核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编制或审核项目设计概算，出具工程概算书或审核报告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概算价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8773A9" w:rsidRPr="00673CCA">
        <w:trPr>
          <w:trHeight w:val="766"/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施工图预算编制或审核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编制或审核施工图预算，出具施工图预算书或审核报告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预算价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8773A9" w:rsidRPr="00673CCA">
        <w:trPr>
          <w:trHeight w:val="720"/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工程量清单及招标控制价编制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编制工程量清单及招标控制价并出具成果文件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招标控制价（最高投标限价）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仅编制工程量清单按收费标准的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</w:t>
            </w:r>
          </w:p>
        </w:tc>
      </w:tr>
      <w:tr w:rsidR="008773A9" w:rsidRPr="00673CCA">
        <w:trPr>
          <w:trHeight w:val="700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工程量清单及招标控制价审核</w:t>
            </w:r>
          </w:p>
        </w:tc>
        <w:tc>
          <w:tcPr>
            <w:tcW w:w="2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审核工程量清单及招标控制价并出具审核报告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基本收费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送审价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8773A9" w:rsidRPr="00673CCA">
        <w:trPr>
          <w:trHeight w:val="1107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核减（增）另收费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|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核减额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|+</w:t>
            </w:r>
          </w:p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|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核增额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|</w:t>
            </w:r>
          </w:p>
        </w:tc>
        <w:tc>
          <w:tcPr>
            <w:tcW w:w="47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3%-5%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8773A9" w:rsidRPr="00673CCA">
        <w:trPr>
          <w:trHeight w:val="600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施工阶段造价咨询</w:t>
            </w:r>
          </w:p>
        </w:tc>
        <w:tc>
          <w:tcPr>
            <w:tcW w:w="2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制定造价控制的实施方案；合同价款咨询；审核工程预付款、期中结算及其价款支付；工程变更、签证及索赔管理；材料、设备的询价，提供核价建议；工程造价动态管理；工程技术经济指标分析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基本收费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合同价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不包括驻场人员费用</w:t>
            </w:r>
          </w:p>
        </w:tc>
      </w:tr>
      <w:tr w:rsidR="008773A9" w:rsidRPr="00673CCA">
        <w:trPr>
          <w:trHeight w:val="1080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核减（增）另收费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|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核减额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|+</w:t>
            </w:r>
          </w:p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|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核增额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|</w:t>
            </w:r>
          </w:p>
        </w:tc>
        <w:tc>
          <w:tcPr>
            <w:tcW w:w="47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6%-8%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服务期限同施工合同约定的工期</w:t>
            </w:r>
          </w:p>
        </w:tc>
      </w:tr>
      <w:tr w:rsidR="008773A9" w:rsidRPr="00673CCA">
        <w:trPr>
          <w:trHeight w:val="500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驻场人员增加费用</w:t>
            </w:r>
          </w:p>
        </w:tc>
        <w:tc>
          <w:tcPr>
            <w:tcW w:w="83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费用标准详见附件二</w:t>
            </w:r>
          </w:p>
        </w:tc>
      </w:tr>
      <w:tr w:rsidR="008773A9" w:rsidRPr="00673CCA">
        <w:trPr>
          <w:trHeight w:val="560"/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工程结算编制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编制工程结算并出具工程结算书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结算价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8773A9" w:rsidRPr="00673CCA">
        <w:trPr>
          <w:trHeight w:val="600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工程结算审核</w:t>
            </w:r>
          </w:p>
        </w:tc>
        <w:tc>
          <w:tcPr>
            <w:tcW w:w="2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审核工程结算书并出具工程结算审核报告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基本收费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送审价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8773A9" w:rsidRPr="00673CCA">
        <w:trPr>
          <w:trHeight w:val="766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核减（增）另收费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|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核减额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|+</w:t>
            </w:r>
          </w:p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|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核增额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|</w:t>
            </w:r>
          </w:p>
        </w:tc>
        <w:tc>
          <w:tcPr>
            <w:tcW w:w="47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一审（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6%-8%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），二审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10%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8773A9" w:rsidRPr="00673CCA">
        <w:trPr>
          <w:trHeight w:val="495"/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工程竣工决算编制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编制工程竣工决算并出具决算成果文件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决算额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8773A9" w:rsidRPr="00673CCA">
        <w:trPr>
          <w:trHeight w:val="600"/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工程竣工决算专项审核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对竣工决算成果文件中某项工程投资额进行专业复核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审核额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8773A9" w:rsidRPr="00673CCA">
        <w:trPr>
          <w:trHeight w:val="640"/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方案测算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比选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包括但不限于设计方案、实施方案的测算或比选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每个方案测算价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8773A9" w:rsidRPr="00673CCA">
        <w:trPr>
          <w:trHeight w:val="440"/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后评估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项目投资的后评估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决算额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8773A9" w:rsidRPr="00673CCA">
        <w:trPr>
          <w:trHeight w:val="620"/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工程造价纠纷鉴定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对纠纷项目的工程造价进行编制并出具鉴定意见书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鉴定标的额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现场踏勘费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3000-5000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天</w:t>
            </w:r>
          </w:p>
        </w:tc>
      </w:tr>
      <w:tr w:rsidR="008773A9" w:rsidRPr="00673CCA">
        <w:trPr>
          <w:trHeight w:val="560"/>
          <w:jc w:val="center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钢筋精细计算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按构件类型、钢筋规格型号分析计算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吨</w:t>
            </w:r>
          </w:p>
        </w:tc>
        <w:tc>
          <w:tcPr>
            <w:tcW w:w="47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吨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773A9" w:rsidRDefault="008773A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8773A9" w:rsidRDefault="008773A9">
      <w:pPr>
        <w:snapToGrid w:val="0"/>
        <w:spacing w:line="360" w:lineRule="auto"/>
        <w:jc w:val="center"/>
        <w:rPr>
          <w:rFonts w:ascii="方正公文小标宋" w:eastAsia="方正公文小标宋" w:hAnsi="方正公文小标宋" w:cs="方正公文小标宋"/>
          <w:color w:val="000000"/>
          <w:kern w:val="0"/>
          <w:sz w:val="44"/>
          <w:szCs w:val="44"/>
        </w:rPr>
        <w:sectPr w:rsidR="008773A9"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73A9" w:rsidRDefault="008773A9">
      <w:pPr>
        <w:snapToGrid w:val="0"/>
        <w:spacing w:line="360" w:lineRule="auto"/>
        <w:jc w:val="left"/>
        <w:rPr>
          <w:rFonts w:ascii="方正公文小标宋" w:eastAsia="方正公文小标宋" w:hAnsi="方正公文小标宋" w:cs="方正公文小标宋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z w:val="28"/>
          <w:szCs w:val="28"/>
        </w:rPr>
        <w:t>说明：</w:t>
      </w:r>
    </w:p>
    <w:p w:rsidR="008773A9" w:rsidRDefault="008773A9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本办法均按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差额定率累进法计费，</w:t>
      </w:r>
      <w:r>
        <w:rPr>
          <w:rFonts w:ascii="仿宋" w:eastAsia="仿宋" w:hAnsi="仿宋" w:cs="仿宋" w:hint="eastAsia"/>
          <w:sz w:val="24"/>
        </w:rPr>
        <w:t>造价咨询服务费收费不足</w:t>
      </w:r>
      <w:r>
        <w:rPr>
          <w:rFonts w:ascii="仿宋" w:eastAsia="仿宋" w:hAnsi="仿宋" w:cs="仿宋"/>
          <w:sz w:val="24"/>
        </w:rPr>
        <w:t>3000</w:t>
      </w:r>
      <w:r>
        <w:rPr>
          <w:rFonts w:ascii="仿宋" w:eastAsia="仿宋" w:hAnsi="仿宋" w:cs="仿宋" w:hint="eastAsia"/>
          <w:sz w:val="24"/>
        </w:rPr>
        <w:t>元时，按</w:t>
      </w:r>
      <w:r>
        <w:rPr>
          <w:rFonts w:ascii="仿宋" w:eastAsia="仿宋" w:hAnsi="仿宋" w:cs="仿宋"/>
          <w:sz w:val="24"/>
        </w:rPr>
        <w:t>3000</w:t>
      </w:r>
      <w:r>
        <w:rPr>
          <w:rFonts w:ascii="仿宋" w:eastAsia="仿宋" w:hAnsi="仿宋" w:cs="仿宋" w:hint="eastAsia"/>
          <w:sz w:val="24"/>
        </w:rPr>
        <w:t>元收取。</w:t>
      </w:r>
    </w:p>
    <w:p w:rsidR="008773A9" w:rsidRDefault="008773A9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工程主材、设备无论是否计入控制价、结算价等，均应计入计费基数。</w:t>
      </w:r>
    </w:p>
    <w:p w:rsidR="008773A9" w:rsidRDefault="008773A9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按建筑面积计算咨询费的可按上述计费标准折合计取。</w:t>
      </w:r>
    </w:p>
    <w:p w:rsidR="008773A9" w:rsidRDefault="008773A9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不同专业工程调整系数见附件三。</w:t>
      </w:r>
    </w:p>
    <w:p w:rsidR="008773A9" w:rsidRDefault="008773A9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非咨询人原因造成项目需要反复计算的、工作量增加的、服务期限延长的，应增加咨询费。</w:t>
      </w:r>
    </w:p>
    <w:p w:rsidR="008773A9" w:rsidRDefault="008773A9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6.</w:t>
      </w:r>
      <w:r>
        <w:rPr>
          <w:rFonts w:ascii="仿宋" w:eastAsia="仿宋" w:hAnsi="仿宋" w:cs="仿宋" w:hint="eastAsia"/>
          <w:sz w:val="24"/>
        </w:rPr>
        <w:t>为保证工程造价咨询工作顺利实施，在咨询人开展服务工作前，委托方应预付不低于</w:t>
      </w:r>
      <w:r>
        <w:rPr>
          <w:rFonts w:ascii="仿宋" w:eastAsia="仿宋" w:hAnsi="仿宋" w:cs="仿宋"/>
          <w:sz w:val="24"/>
        </w:rPr>
        <w:t>30%</w:t>
      </w:r>
      <w:r>
        <w:rPr>
          <w:rFonts w:ascii="仿宋" w:eastAsia="仿宋" w:hAnsi="仿宋" w:cs="仿宋" w:hint="eastAsia"/>
          <w:sz w:val="24"/>
        </w:rPr>
        <w:t>的咨询费。</w:t>
      </w: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例：差额定率累进法计费</w:t>
      </w:r>
      <w:r>
        <w:rPr>
          <w:rFonts w:ascii="仿宋" w:eastAsia="仿宋" w:hAnsi="仿宋" w:cs="仿宋"/>
          <w:kern w:val="2"/>
        </w:rPr>
        <w:t>,</w:t>
      </w:r>
      <w:r>
        <w:rPr>
          <w:rFonts w:ascii="仿宋" w:eastAsia="仿宋" w:hAnsi="仿宋" w:cs="仿宋" w:hint="eastAsia"/>
          <w:kern w:val="2"/>
        </w:rPr>
        <w:t>例如某工程编制工程量清单及招标控制价</w:t>
      </w:r>
      <w:r>
        <w:rPr>
          <w:rFonts w:ascii="仿宋" w:eastAsia="仿宋" w:hAnsi="仿宋" w:cs="仿宋"/>
          <w:kern w:val="2"/>
        </w:rPr>
        <w:t>5000</w:t>
      </w:r>
      <w:r>
        <w:rPr>
          <w:rFonts w:ascii="仿宋" w:eastAsia="仿宋" w:hAnsi="仿宋" w:cs="仿宋" w:hint="eastAsia"/>
          <w:kern w:val="2"/>
        </w:rPr>
        <w:t>万元，计算收费额如下：</w:t>
      </w: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300" w:firstLine="72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/>
          <w:kern w:val="2"/>
        </w:rPr>
        <w:t xml:space="preserve">500 </w:t>
      </w:r>
      <w:r>
        <w:rPr>
          <w:rFonts w:ascii="仿宋" w:eastAsia="仿宋" w:hAnsi="仿宋" w:cs="仿宋" w:hint="eastAsia"/>
          <w:kern w:val="2"/>
        </w:rPr>
        <w:t>万元×</w:t>
      </w:r>
      <w:r>
        <w:rPr>
          <w:rFonts w:ascii="仿宋" w:eastAsia="仿宋" w:hAnsi="仿宋" w:cs="仿宋"/>
          <w:kern w:val="2"/>
        </w:rPr>
        <w:t>5</w:t>
      </w:r>
      <w:r>
        <w:rPr>
          <w:rFonts w:ascii="仿宋" w:eastAsia="仿宋" w:hAnsi="仿宋" w:cs="仿宋" w:hint="eastAsia"/>
          <w:kern w:val="2"/>
        </w:rPr>
        <w:t>‰</w:t>
      </w:r>
      <w:r>
        <w:rPr>
          <w:rFonts w:ascii="仿宋" w:eastAsia="仿宋" w:hAnsi="仿宋" w:cs="仿宋"/>
          <w:kern w:val="2"/>
        </w:rPr>
        <w:t xml:space="preserve"> =2.50</w:t>
      </w:r>
      <w:r>
        <w:rPr>
          <w:rFonts w:ascii="仿宋" w:eastAsia="仿宋" w:hAnsi="仿宋" w:cs="仿宋" w:hint="eastAsia"/>
          <w:kern w:val="2"/>
        </w:rPr>
        <w:t>万元</w:t>
      </w: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（</w:t>
      </w:r>
      <w:r>
        <w:rPr>
          <w:rFonts w:ascii="仿宋" w:eastAsia="仿宋" w:hAnsi="仿宋" w:cs="仿宋"/>
          <w:kern w:val="2"/>
        </w:rPr>
        <w:t>1000 - 500</w:t>
      </w:r>
      <w:r>
        <w:rPr>
          <w:rFonts w:ascii="仿宋" w:eastAsia="仿宋" w:hAnsi="仿宋" w:cs="仿宋" w:hint="eastAsia"/>
          <w:kern w:val="2"/>
        </w:rPr>
        <w:t>）万元×</w:t>
      </w:r>
      <w:r>
        <w:rPr>
          <w:rFonts w:ascii="仿宋" w:eastAsia="仿宋" w:hAnsi="仿宋" w:cs="仿宋"/>
          <w:kern w:val="2"/>
        </w:rPr>
        <w:t>4.6</w:t>
      </w:r>
      <w:r>
        <w:rPr>
          <w:rFonts w:ascii="仿宋" w:eastAsia="仿宋" w:hAnsi="仿宋" w:cs="仿宋" w:hint="eastAsia"/>
          <w:kern w:val="2"/>
        </w:rPr>
        <w:t>‰</w:t>
      </w:r>
      <w:r>
        <w:rPr>
          <w:rFonts w:ascii="仿宋" w:eastAsia="仿宋" w:hAnsi="仿宋" w:cs="仿宋"/>
          <w:kern w:val="2"/>
        </w:rPr>
        <w:t xml:space="preserve"> = 2.30</w:t>
      </w:r>
      <w:r>
        <w:rPr>
          <w:rFonts w:ascii="仿宋" w:eastAsia="仿宋" w:hAnsi="仿宋" w:cs="仿宋" w:hint="eastAsia"/>
          <w:kern w:val="2"/>
        </w:rPr>
        <w:t>万元</w:t>
      </w: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（</w:t>
      </w:r>
      <w:r>
        <w:rPr>
          <w:rFonts w:ascii="仿宋" w:eastAsia="仿宋" w:hAnsi="仿宋" w:cs="仿宋"/>
          <w:kern w:val="2"/>
        </w:rPr>
        <w:t>5000 -1000</w:t>
      </w:r>
      <w:r>
        <w:rPr>
          <w:rFonts w:ascii="仿宋" w:eastAsia="仿宋" w:hAnsi="仿宋" w:cs="仿宋" w:hint="eastAsia"/>
          <w:kern w:val="2"/>
        </w:rPr>
        <w:t>）万元×</w:t>
      </w:r>
      <w:r>
        <w:rPr>
          <w:rFonts w:ascii="仿宋" w:eastAsia="仿宋" w:hAnsi="仿宋" w:cs="仿宋"/>
          <w:kern w:val="2"/>
        </w:rPr>
        <w:t>4.2</w:t>
      </w:r>
      <w:r>
        <w:rPr>
          <w:rFonts w:ascii="仿宋" w:eastAsia="仿宋" w:hAnsi="仿宋" w:cs="仿宋" w:hint="eastAsia"/>
          <w:kern w:val="2"/>
        </w:rPr>
        <w:t>‰</w:t>
      </w:r>
      <w:r>
        <w:rPr>
          <w:rFonts w:ascii="仿宋" w:eastAsia="仿宋" w:hAnsi="仿宋" w:cs="仿宋"/>
          <w:kern w:val="2"/>
        </w:rPr>
        <w:t xml:space="preserve"> =16.80</w:t>
      </w:r>
      <w:r>
        <w:rPr>
          <w:rFonts w:ascii="仿宋" w:eastAsia="仿宋" w:hAnsi="仿宋" w:cs="仿宋" w:hint="eastAsia"/>
          <w:kern w:val="2"/>
        </w:rPr>
        <w:t>万元</w:t>
      </w: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应收咨询服务费合计：</w:t>
      </w:r>
      <w:r>
        <w:rPr>
          <w:rFonts w:ascii="仿宋" w:eastAsia="仿宋" w:hAnsi="仿宋" w:cs="仿宋"/>
          <w:kern w:val="2"/>
        </w:rPr>
        <w:t>2.50+2.30+16.80=21.60</w:t>
      </w:r>
      <w:r>
        <w:rPr>
          <w:rFonts w:ascii="仿宋" w:eastAsia="仿宋" w:hAnsi="仿宋" w:cs="仿宋" w:hint="eastAsia"/>
          <w:kern w:val="2"/>
        </w:rPr>
        <w:t>万元</w:t>
      </w: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</w:p>
    <w:p w:rsidR="008773A9" w:rsidRPr="00C201C0" w:rsidRDefault="008773A9">
      <w:pPr>
        <w:pStyle w:val="NormalWeb"/>
        <w:widowControl/>
        <w:shd w:val="clear" w:color="auto" w:fill="FFFFFF"/>
        <w:spacing w:beforeAutospacing="0" w:afterAutospacing="0" w:line="360" w:lineRule="auto"/>
        <w:jc w:val="center"/>
        <w:rPr>
          <w:rFonts w:ascii="方正小标宋_GBK" w:eastAsia="方正小标宋_GBK" w:hAnsi="方正公文小标宋" w:cs="方正公文小标宋"/>
          <w:color w:val="000000"/>
          <w:sz w:val="36"/>
          <w:szCs w:val="36"/>
        </w:rPr>
      </w:pPr>
      <w:r w:rsidRPr="00C201C0">
        <w:rPr>
          <w:rFonts w:ascii="方正小标宋_GBK" w:eastAsia="方正小标宋_GBK" w:hAnsi="方正公文小标宋" w:cs="方正公文小标宋" w:hint="eastAsia"/>
          <w:kern w:val="2"/>
          <w:sz w:val="36"/>
          <w:szCs w:val="36"/>
        </w:rPr>
        <w:t>附件二：</w:t>
      </w:r>
      <w:r w:rsidRPr="00C201C0">
        <w:rPr>
          <w:rFonts w:ascii="方正小标宋_GBK" w:eastAsia="方正小标宋_GBK" w:hAnsi="方正公文小标宋" w:cs="方正公文小标宋" w:hint="eastAsia"/>
          <w:color w:val="000000"/>
          <w:sz w:val="36"/>
          <w:szCs w:val="36"/>
        </w:rPr>
        <w:t>驻场人员增加工日费用标准表</w:t>
      </w: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jc w:val="center"/>
        <w:rPr>
          <w:rFonts w:ascii="方正公文小标宋" w:eastAsia="方正公文小标宋" w:hAnsi="方正公文小标宋" w:cs="方正公文小标宋"/>
          <w:kern w:val="2"/>
          <w:sz w:val="36"/>
          <w:szCs w:val="36"/>
        </w:rPr>
      </w:pPr>
    </w:p>
    <w:tbl>
      <w:tblPr>
        <w:tblW w:w="7640" w:type="dxa"/>
        <w:jc w:val="center"/>
        <w:tblLook w:val="00A0"/>
      </w:tblPr>
      <w:tblGrid>
        <w:gridCol w:w="2447"/>
        <w:gridCol w:w="5193"/>
      </w:tblGrid>
      <w:tr w:rsidR="008773A9" w:rsidRPr="00673CCA" w:rsidTr="002B217E">
        <w:trPr>
          <w:trHeight w:hRule="exact" w:val="907"/>
          <w:jc w:val="center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Pr="00D80C85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D80C85">
              <w:rPr>
                <w:rFonts w:ascii="宋体" w:hAnsi="宋体" w:cs="宋体" w:hint="eastAsia"/>
                <w:color w:val="000000"/>
                <w:kern w:val="0"/>
                <w:sz w:val="24"/>
              </w:rPr>
              <w:t>造价人员级别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Pr="00D80C85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D80C85">
              <w:rPr>
                <w:rFonts w:ascii="宋体" w:hAnsi="宋体" w:cs="宋体" w:hint="eastAsia"/>
                <w:color w:val="000000"/>
                <w:kern w:val="0"/>
                <w:sz w:val="24"/>
              </w:rPr>
              <w:t>工日费用标准（元</w:t>
            </w:r>
            <w:r w:rsidRPr="00D80C85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D80C85">
              <w:rPr>
                <w:rFonts w:ascii="宋体" w:hAnsi="宋体" w:cs="宋体" w:hint="eastAsia"/>
                <w:color w:val="000000"/>
                <w:kern w:val="0"/>
                <w:sz w:val="24"/>
              </w:rPr>
              <w:t>人·工日）</w:t>
            </w:r>
          </w:p>
        </w:tc>
      </w:tr>
      <w:tr w:rsidR="008773A9" w:rsidRPr="00673CCA" w:rsidTr="002B217E">
        <w:trPr>
          <w:trHeight w:hRule="exact" w:val="907"/>
          <w:jc w:val="center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Pr="00D80C85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D80C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具有一级造价工程师及正高级职称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Pr="00D80C85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D80C85">
              <w:rPr>
                <w:rFonts w:ascii="宋体" w:hAnsi="宋体" w:cs="宋体"/>
                <w:color w:val="000000"/>
                <w:kern w:val="0"/>
                <w:sz w:val="24"/>
              </w:rPr>
              <w:t>1200-1500</w:t>
            </w:r>
          </w:p>
        </w:tc>
      </w:tr>
      <w:tr w:rsidR="008773A9" w:rsidRPr="00673CCA" w:rsidTr="002B217E">
        <w:trPr>
          <w:trHeight w:hRule="exact" w:val="907"/>
          <w:jc w:val="center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Pr="00D80C85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D80C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具有一级造价工程师及高级职称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Pr="00D80C85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D80C85">
              <w:rPr>
                <w:rFonts w:ascii="宋体" w:hAnsi="宋体" w:cs="宋体"/>
                <w:color w:val="000000"/>
                <w:kern w:val="0"/>
                <w:sz w:val="24"/>
              </w:rPr>
              <w:t>900-1200</w:t>
            </w:r>
          </w:p>
        </w:tc>
      </w:tr>
      <w:tr w:rsidR="008773A9" w:rsidRPr="00673CCA" w:rsidTr="002B217E">
        <w:trPr>
          <w:trHeight w:hRule="exact" w:val="907"/>
          <w:jc w:val="center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Pr="00D80C85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D80C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具有一级造价工程师或中级职称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Pr="00D80C85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D80C85">
              <w:rPr>
                <w:rFonts w:ascii="宋体" w:hAnsi="宋体" w:cs="宋体"/>
                <w:color w:val="000000"/>
                <w:kern w:val="0"/>
                <w:sz w:val="24"/>
              </w:rPr>
              <w:t>600-900</w:t>
            </w:r>
          </w:p>
        </w:tc>
      </w:tr>
      <w:tr w:rsidR="008773A9" w:rsidRPr="00673CCA" w:rsidTr="002B217E">
        <w:trPr>
          <w:trHeight w:hRule="exact" w:val="907"/>
          <w:jc w:val="center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Default="008773A9" w:rsidP="00D80C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80C85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二级造价工程师或</w:t>
            </w:r>
          </w:p>
          <w:p w:rsidR="008773A9" w:rsidRPr="00D80C85" w:rsidRDefault="008773A9" w:rsidP="00D80C8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80C85">
              <w:rPr>
                <w:rFonts w:ascii="宋体" w:hAnsi="宋体" w:cs="宋体" w:hint="eastAsia"/>
                <w:color w:val="000000"/>
                <w:kern w:val="0"/>
                <w:szCs w:val="21"/>
              </w:rPr>
              <w:t>造价人员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3A9" w:rsidRPr="00D80C85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D80C85">
              <w:rPr>
                <w:rFonts w:ascii="宋体" w:hAnsi="宋体" w:cs="宋体"/>
                <w:color w:val="000000"/>
                <w:kern w:val="0"/>
                <w:sz w:val="24"/>
              </w:rPr>
              <w:t>400-600</w:t>
            </w:r>
          </w:p>
        </w:tc>
      </w:tr>
    </w:tbl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</w:p>
    <w:p w:rsidR="008773A9" w:rsidRDefault="008773A9">
      <w:pPr>
        <w:pStyle w:val="NormalWeb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方正公文小标宋" w:eastAsia="方正公文小标宋" w:hAnsi="方正公文小标宋" w:cs="方正公文小标宋"/>
          <w:kern w:val="2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kern w:val="2"/>
          <w:sz w:val="28"/>
          <w:szCs w:val="28"/>
        </w:rPr>
        <w:t>说明：</w:t>
      </w:r>
    </w:p>
    <w:p w:rsidR="008773A9" w:rsidRPr="00C201C0" w:rsidRDefault="008773A9" w:rsidP="00F32C9B">
      <w:pPr>
        <w:pStyle w:val="NormalWeb"/>
        <w:widowControl/>
        <w:shd w:val="clear" w:color="auto" w:fill="FFFFFF"/>
        <w:spacing w:beforeAutospacing="0" w:afterAutospacing="0" w:line="360" w:lineRule="auto"/>
        <w:ind w:firstLineChars="500" w:firstLine="1200"/>
        <w:rPr>
          <w:rFonts w:ascii="仿宋" w:eastAsia="仿宋" w:hAnsi="仿宋" w:cs="方正公文小标宋"/>
          <w:kern w:val="2"/>
        </w:rPr>
      </w:pPr>
      <w:r w:rsidRPr="00C201C0">
        <w:rPr>
          <w:rFonts w:ascii="仿宋" w:eastAsia="仿宋" w:hAnsi="仿宋" w:cs="仿宋" w:hint="eastAsia"/>
          <w:color w:val="000000"/>
        </w:rPr>
        <w:t>零星造价咨询服务计日收费也可按此标准。</w:t>
      </w: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Default="008773A9">
      <w:pPr>
        <w:snapToGrid w:val="0"/>
        <w:spacing w:line="360" w:lineRule="auto"/>
        <w:jc w:val="left"/>
        <w:rPr>
          <w:szCs w:val="21"/>
        </w:rPr>
      </w:pPr>
    </w:p>
    <w:p w:rsidR="008773A9" w:rsidRPr="00C201C0" w:rsidRDefault="008773A9">
      <w:pPr>
        <w:snapToGrid w:val="0"/>
        <w:spacing w:line="360" w:lineRule="auto"/>
        <w:jc w:val="center"/>
        <w:rPr>
          <w:rFonts w:ascii="方正小标宋_GBK" w:eastAsia="方正小标宋_GBK" w:hAnsi="方正公文小标宋" w:cs="方正公文小标宋"/>
          <w:sz w:val="36"/>
          <w:szCs w:val="36"/>
        </w:rPr>
      </w:pPr>
      <w:r w:rsidRPr="00C201C0">
        <w:rPr>
          <w:rFonts w:ascii="方正小标宋_GBK" w:eastAsia="方正小标宋_GBK" w:hAnsi="方正公文小标宋" w:cs="方正公文小标宋" w:hint="eastAsia"/>
          <w:sz w:val="36"/>
          <w:szCs w:val="36"/>
        </w:rPr>
        <w:t>附件三：</w:t>
      </w:r>
      <w:r w:rsidRPr="00C201C0">
        <w:rPr>
          <w:rFonts w:ascii="方正小标宋_GBK" w:eastAsia="方正小标宋_GBK" w:hAnsi="方正公文小标宋" w:cs="方正公文小标宋" w:hint="eastAsia"/>
          <w:color w:val="000000"/>
          <w:kern w:val="0"/>
          <w:sz w:val="36"/>
          <w:szCs w:val="36"/>
        </w:rPr>
        <w:t>建设工程造价咨询收费专业工程调整系数表</w:t>
      </w:r>
    </w:p>
    <w:tbl>
      <w:tblPr>
        <w:tblW w:w="8440" w:type="dxa"/>
        <w:jc w:val="center"/>
        <w:tblLook w:val="00A0"/>
      </w:tblPr>
      <w:tblGrid>
        <w:gridCol w:w="1466"/>
        <w:gridCol w:w="3487"/>
        <w:gridCol w:w="3487"/>
      </w:tblGrid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专业调整系数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房屋建筑工程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1.0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市政工程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0.8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水利电力工程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1.0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机场场道工程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1.0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公路道路工程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0.8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城市轨道工程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0.8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桥梁隧道工程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1.0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港口工程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0.8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井巷矿山工程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1.1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园林绿化工程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1.1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装饰装修工程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1.2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仿古建筑工程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1.2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安装工程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1.3</w:t>
            </w:r>
          </w:p>
        </w:tc>
      </w:tr>
      <w:tr w:rsidR="008773A9" w:rsidRPr="00673CCA" w:rsidTr="00C201C0">
        <w:trPr>
          <w:trHeight w:hRule="exact" w:val="7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3A9" w:rsidRDefault="00877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1.0 </w:t>
            </w:r>
          </w:p>
        </w:tc>
      </w:tr>
    </w:tbl>
    <w:p w:rsidR="008773A9" w:rsidRDefault="008773A9">
      <w:pPr>
        <w:snapToGrid w:val="0"/>
        <w:spacing w:line="360" w:lineRule="auto"/>
        <w:jc w:val="left"/>
        <w:rPr>
          <w:rFonts w:ascii="宋体" w:cs="宋体"/>
          <w:sz w:val="24"/>
        </w:rPr>
      </w:pPr>
    </w:p>
    <w:p w:rsidR="008773A9" w:rsidRDefault="008773A9">
      <w:pPr>
        <w:jc w:val="center"/>
      </w:pPr>
    </w:p>
    <w:sectPr w:rsidR="008773A9" w:rsidSect="00BE2511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CB4BCD"/>
    <w:rsid w:val="00041D80"/>
    <w:rsid w:val="0011219A"/>
    <w:rsid w:val="00263CEC"/>
    <w:rsid w:val="002B217E"/>
    <w:rsid w:val="0030709A"/>
    <w:rsid w:val="003C14E8"/>
    <w:rsid w:val="00507C3A"/>
    <w:rsid w:val="00525982"/>
    <w:rsid w:val="00582710"/>
    <w:rsid w:val="00587662"/>
    <w:rsid w:val="00673CCA"/>
    <w:rsid w:val="006D7ACE"/>
    <w:rsid w:val="007B5FD4"/>
    <w:rsid w:val="007E752E"/>
    <w:rsid w:val="008773A9"/>
    <w:rsid w:val="00921834"/>
    <w:rsid w:val="00970744"/>
    <w:rsid w:val="00A76424"/>
    <w:rsid w:val="00A95921"/>
    <w:rsid w:val="00B16679"/>
    <w:rsid w:val="00B212C8"/>
    <w:rsid w:val="00B85F1A"/>
    <w:rsid w:val="00BE2511"/>
    <w:rsid w:val="00C201C0"/>
    <w:rsid w:val="00CC6408"/>
    <w:rsid w:val="00CD404C"/>
    <w:rsid w:val="00D80C85"/>
    <w:rsid w:val="00ED1788"/>
    <w:rsid w:val="00F32C9B"/>
    <w:rsid w:val="05CB4BCD"/>
    <w:rsid w:val="2910762B"/>
    <w:rsid w:val="29B268A1"/>
    <w:rsid w:val="309D2EEA"/>
    <w:rsid w:val="339D18E2"/>
    <w:rsid w:val="34C2611E"/>
    <w:rsid w:val="51E7529D"/>
    <w:rsid w:val="539D4FC9"/>
    <w:rsid w:val="578B5D49"/>
    <w:rsid w:val="6E7B7CE8"/>
    <w:rsid w:val="6F0D2696"/>
    <w:rsid w:val="6F3D2001"/>
    <w:rsid w:val="71B64F12"/>
    <w:rsid w:val="782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251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BE251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6424"/>
    <w:rPr>
      <w:rFonts w:ascii="Calibri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511"/>
    <w:pPr>
      <w:spacing w:beforeAutospacing="1" w:afterAutospacing="1"/>
      <w:jc w:val="left"/>
    </w:pPr>
    <w:rPr>
      <w:kern w:val="0"/>
      <w:sz w:val="24"/>
    </w:rPr>
  </w:style>
  <w:style w:type="character" w:customStyle="1" w:styleId="font21">
    <w:name w:val="font21"/>
    <w:basedOn w:val="DefaultParagraphFont"/>
    <w:uiPriority w:val="99"/>
    <w:rsid w:val="00BE251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31">
    <w:name w:val="font31"/>
    <w:basedOn w:val="DefaultParagraphFont"/>
    <w:uiPriority w:val="99"/>
    <w:rsid w:val="00BE2511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11">
    <w:name w:val="font11"/>
    <w:basedOn w:val="DefaultParagraphFont"/>
    <w:uiPriority w:val="99"/>
    <w:rsid w:val="00BE2511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308</Words>
  <Characters>1761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关于公布《河南省建设工程造价咨询行业</dc:title>
  <dc:subject/>
  <dc:creator>杨飘扬就是狐子七</dc:creator>
  <cp:keywords/>
  <dc:description/>
  <cp:lastModifiedBy>Sky123.Org</cp:lastModifiedBy>
  <cp:revision>9</cp:revision>
  <cp:lastPrinted>2022-03-24T07:52:00Z</cp:lastPrinted>
  <dcterms:created xsi:type="dcterms:W3CDTF">2022-03-24T07:17:00Z</dcterms:created>
  <dcterms:modified xsi:type="dcterms:W3CDTF">2022-03-24T08:31:00Z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32C7EDE26B6E459F91268C080CB9D5F6</vt:lpwstr>
  </property>
</Properties>
</file>